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CACA173" w14:textId="77777777" w:rsidR="003E1933" w:rsidRDefault="003E1933" w:rsidP="003E1933">
      <w:pPr>
        <w:rPr>
          <w:rFonts w:ascii="Times New Roman" w:hAnsi="Times New Roman" w:cs="Times New Roman"/>
          <w:b/>
          <w:bCs/>
          <w:sz w:val="22"/>
        </w:rPr>
      </w:pPr>
      <w:r>
        <w:rPr>
          <w:rFonts w:ascii="Times New Roman" w:hAnsi="Times New Roman" w:cs="Times New Roman"/>
          <w:b/>
          <w:bCs/>
          <w:sz w:val="22"/>
        </w:rPr>
        <w:t>Therapeutic dosage prediction of donepezil patch using population pharmacokinetic modeling</w:t>
      </w:r>
    </w:p>
    <w:p w14:paraId="05BAA893" w14:textId="77777777" w:rsidR="003E1933" w:rsidRPr="005F4CC8" w:rsidRDefault="003E1933" w:rsidP="003E1933">
      <w:pPr>
        <w:rPr>
          <w:rFonts w:ascii="Times New Roman" w:hAnsi="Times New Roman" w:cs="Times New Roman"/>
          <w:b/>
          <w:bCs/>
          <w:sz w:val="22"/>
        </w:rPr>
      </w:pPr>
    </w:p>
    <w:p w14:paraId="64E1C32D" w14:textId="77777777" w:rsidR="003E1933" w:rsidRPr="005F4CC8" w:rsidRDefault="003E1933" w:rsidP="003E1933">
      <w:pPr>
        <w:rPr>
          <w:rFonts w:ascii="Times New Roman" w:hAnsi="Times New Roman" w:cs="Times New Roman"/>
          <w:sz w:val="22"/>
        </w:rPr>
      </w:pPr>
      <w:r w:rsidRPr="005F4CC8">
        <w:rPr>
          <w:rFonts w:ascii="Times New Roman" w:hAnsi="Times New Roman" w:cs="Times New Roman"/>
          <w:sz w:val="22"/>
        </w:rPr>
        <w:t xml:space="preserve"> Seon-jong Park</w:t>
      </w:r>
      <w:r w:rsidRPr="005F4CC8">
        <w:rPr>
          <w:rFonts w:ascii="Times New Roman" w:hAnsi="Times New Roman" w:cs="Times New Roman"/>
          <w:sz w:val="22"/>
          <w:vertAlign w:val="superscript"/>
        </w:rPr>
        <w:t>1</w:t>
      </w:r>
      <w:r w:rsidRPr="005F4CC8">
        <w:rPr>
          <w:rFonts w:ascii="Times New Roman" w:hAnsi="Times New Roman" w:cs="Times New Roman"/>
          <w:sz w:val="22"/>
        </w:rPr>
        <w:t>, Woo-</w:t>
      </w:r>
      <w:proofErr w:type="spellStart"/>
      <w:r w:rsidRPr="005F4CC8">
        <w:rPr>
          <w:rFonts w:ascii="Times New Roman" w:hAnsi="Times New Roman" w:cs="Times New Roman"/>
          <w:sz w:val="22"/>
        </w:rPr>
        <w:t>jin</w:t>
      </w:r>
      <w:proofErr w:type="spellEnd"/>
      <w:r w:rsidRPr="005F4CC8">
        <w:rPr>
          <w:rFonts w:ascii="Times New Roman" w:hAnsi="Times New Roman" w:cs="Times New Roman"/>
          <w:sz w:val="22"/>
        </w:rPr>
        <w:t xml:space="preserve"> Jung</w:t>
      </w:r>
      <w:r w:rsidRPr="005F4CC8">
        <w:rPr>
          <w:rFonts w:ascii="Times New Roman" w:hAnsi="Times New Roman" w:cs="Times New Roman"/>
          <w:sz w:val="22"/>
          <w:vertAlign w:val="superscript"/>
        </w:rPr>
        <w:t>1</w:t>
      </w:r>
      <w:r w:rsidRPr="005F4CC8">
        <w:rPr>
          <w:rFonts w:ascii="Times New Roman" w:hAnsi="Times New Roman" w:cs="Times New Roman"/>
          <w:sz w:val="22"/>
        </w:rPr>
        <w:t xml:space="preserve">, Tran </w:t>
      </w:r>
      <w:proofErr w:type="spellStart"/>
      <w:r w:rsidRPr="005F4CC8">
        <w:rPr>
          <w:rFonts w:ascii="Times New Roman" w:hAnsi="Times New Roman" w:cs="Times New Roman"/>
          <w:sz w:val="22"/>
        </w:rPr>
        <w:t>Thi</w:t>
      </w:r>
      <w:proofErr w:type="spellEnd"/>
      <w:r w:rsidRPr="005F4CC8">
        <w:rPr>
          <w:rFonts w:ascii="Times New Roman" w:hAnsi="Times New Roman" w:cs="Times New Roman"/>
          <w:sz w:val="22"/>
        </w:rPr>
        <w:t xml:space="preserve"> Quyen</w:t>
      </w:r>
      <w:r w:rsidRPr="005F4CC8">
        <w:rPr>
          <w:rFonts w:ascii="Times New Roman" w:hAnsi="Times New Roman" w:cs="Times New Roman"/>
          <w:sz w:val="22"/>
          <w:vertAlign w:val="superscript"/>
        </w:rPr>
        <w:t>1</w:t>
      </w:r>
      <w:r w:rsidRPr="005F4CC8">
        <w:rPr>
          <w:rFonts w:ascii="Times New Roman" w:hAnsi="Times New Roman" w:cs="Times New Roman"/>
          <w:sz w:val="22"/>
        </w:rPr>
        <w:t xml:space="preserve">, Ngo </w:t>
      </w:r>
      <w:proofErr w:type="spellStart"/>
      <w:r w:rsidRPr="005F4CC8">
        <w:rPr>
          <w:rFonts w:ascii="Times New Roman" w:hAnsi="Times New Roman" w:cs="Times New Roman"/>
          <w:sz w:val="22"/>
        </w:rPr>
        <w:t>Thi</w:t>
      </w:r>
      <w:proofErr w:type="spellEnd"/>
      <w:r w:rsidRPr="005F4CC8">
        <w:rPr>
          <w:rFonts w:ascii="Times New Roman" w:hAnsi="Times New Roman" w:cs="Times New Roman"/>
          <w:sz w:val="22"/>
        </w:rPr>
        <w:t xml:space="preserve"> Lien</w:t>
      </w:r>
      <w:r w:rsidRPr="005F4CC8">
        <w:rPr>
          <w:rFonts w:ascii="Times New Roman" w:hAnsi="Times New Roman" w:cs="Times New Roman"/>
          <w:sz w:val="22"/>
          <w:vertAlign w:val="superscript"/>
        </w:rPr>
        <w:t>1</w:t>
      </w:r>
      <w:r w:rsidRPr="005F4CC8">
        <w:rPr>
          <w:rFonts w:ascii="Times New Roman" w:hAnsi="Times New Roman" w:cs="Times New Roman"/>
          <w:sz w:val="22"/>
        </w:rPr>
        <w:t>, Jung-woo Chae</w:t>
      </w:r>
      <w:r w:rsidRPr="005F4CC8">
        <w:rPr>
          <w:rFonts w:ascii="Times New Roman" w:hAnsi="Times New Roman" w:cs="Times New Roman"/>
          <w:sz w:val="22"/>
          <w:vertAlign w:val="superscript"/>
        </w:rPr>
        <w:t>1</w:t>
      </w:r>
      <w:r w:rsidRPr="005F4CC8">
        <w:rPr>
          <w:rFonts w:ascii="Times New Roman" w:hAnsi="Times New Roman" w:cs="Times New Roman"/>
          <w:sz w:val="22"/>
        </w:rPr>
        <w:t xml:space="preserve">, </w:t>
      </w:r>
      <w:proofErr w:type="spellStart"/>
      <w:r w:rsidRPr="005F4CC8">
        <w:rPr>
          <w:rFonts w:ascii="Times New Roman" w:hAnsi="Times New Roman" w:cs="Times New Roman"/>
          <w:sz w:val="22"/>
        </w:rPr>
        <w:t>Hwi-yeol</w:t>
      </w:r>
      <w:proofErr w:type="spellEnd"/>
      <w:r w:rsidRPr="005F4CC8">
        <w:rPr>
          <w:rFonts w:ascii="Times New Roman" w:hAnsi="Times New Roman" w:cs="Times New Roman"/>
          <w:sz w:val="22"/>
        </w:rPr>
        <w:t xml:space="preserve"> Yun</w:t>
      </w:r>
      <w:r w:rsidRPr="005F4CC8">
        <w:rPr>
          <w:rFonts w:ascii="Times New Roman" w:hAnsi="Times New Roman" w:cs="Times New Roman"/>
          <w:sz w:val="22"/>
          <w:vertAlign w:val="superscript"/>
        </w:rPr>
        <w:t>1,*</w:t>
      </w:r>
    </w:p>
    <w:p w14:paraId="440982E5" w14:textId="77777777" w:rsidR="003E1933" w:rsidRPr="005F4CC8" w:rsidRDefault="003E1933" w:rsidP="003E1933">
      <w:pPr>
        <w:ind w:left="720"/>
        <w:rPr>
          <w:rFonts w:ascii="Times New Roman" w:hAnsi="Times New Roman" w:cs="Times New Roman"/>
          <w:sz w:val="22"/>
        </w:rPr>
      </w:pPr>
      <w:r w:rsidRPr="005F4CC8">
        <w:rPr>
          <w:rFonts w:ascii="Times New Roman" w:hAnsi="Times New Roman" w:cs="Times New Roman"/>
          <w:sz w:val="22"/>
          <w:vertAlign w:val="superscript"/>
        </w:rPr>
        <w:t>1</w:t>
      </w:r>
      <w:r w:rsidRPr="005F4CC8">
        <w:rPr>
          <w:rFonts w:ascii="Times New Roman" w:hAnsi="Times New Roman" w:cs="Times New Roman"/>
          <w:sz w:val="22"/>
        </w:rPr>
        <w:t>College of Pharmacy</w:t>
      </w:r>
      <w:r w:rsidRPr="005F4CC8">
        <w:rPr>
          <w:rFonts w:ascii="Times New Roman" w:eastAsia="바탕" w:hAnsi="Times New Roman" w:cs="Times New Roman"/>
          <w:sz w:val="22"/>
        </w:rPr>
        <w:t>,</w:t>
      </w:r>
      <w:r w:rsidRPr="005F4CC8">
        <w:rPr>
          <w:rFonts w:ascii="Times New Roman" w:hAnsi="Times New Roman" w:cs="Times New Roman"/>
          <w:sz w:val="22"/>
        </w:rPr>
        <w:t xml:space="preserve"> </w:t>
      </w:r>
      <w:proofErr w:type="spellStart"/>
      <w:r w:rsidRPr="005F4CC8">
        <w:rPr>
          <w:rFonts w:ascii="Times New Roman" w:hAnsi="Times New Roman" w:cs="Times New Roman"/>
          <w:sz w:val="22"/>
        </w:rPr>
        <w:t>Chungnam</w:t>
      </w:r>
      <w:proofErr w:type="spellEnd"/>
      <w:r w:rsidRPr="005F4CC8">
        <w:rPr>
          <w:rFonts w:ascii="Times New Roman" w:hAnsi="Times New Roman" w:cs="Times New Roman"/>
          <w:sz w:val="22"/>
        </w:rPr>
        <w:t xml:space="preserve"> National University, Republic of Korea</w:t>
      </w:r>
    </w:p>
    <w:p w14:paraId="3BEF5419" w14:textId="77777777" w:rsidR="003E1933" w:rsidRPr="005F4CC8" w:rsidRDefault="003E1933" w:rsidP="003E1933">
      <w:pPr>
        <w:rPr>
          <w:rFonts w:ascii="Times New Roman" w:hAnsi="Times New Roman" w:cs="Times New Roman"/>
          <w:sz w:val="22"/>
        </w:rPr>
      </w:pPr>
    </w:p>
    <w:p w14:paraId="677A12CE" w14:textId="77777777" w:rsidR="003E1933" w:rsidRPr="005F4CC8" w:rsidRDefault="003E1933" w:rsidP="003E1933">
      <w:pPr>
        <w:pStyle w:val="2"/>
        <w:rPr>
          <w:rFonts w:ascii="Times New Roman" w:hAnsi="Times New Roman" w:cs="Times New Roman"/>
          <w:sz w:val="22"/>
        </w:rPr>
      </w:pPr>
      <w:r w:rsidRPr="005F4CC8">
        <w:rPr>
          <w:rFonts w:ascii="Times New Roman" w:hAnsi="Times New Roman" w:cs="Times New Roman"/>
          <w:b/>
          <w:bCs/>
          <w:sz w:val="22"/>
        </w:rPr>
        <w:t>Objectives:</w:t>
      </w:r>
      <w:r w:rsidRPr="005F4CC8">
        <w:rPr>
          <w:rFonts w:ascii="Times New Roman" w:hAnsi="Times New Roman" w:cs="Times New Roman"/>
          <w:sz w:val="22"/>
        </w:rPr>
        <w:t xml:space="preserve"> Donepezil</w:t>
      </w:r>
      <w:r>
        <w:rPr>
          <w:rFonts w:ascii="Times New Roman" w:hAnsi="Times New Roman" w:cs="Times New Roman"/>
          <w:sz w:val="22"/>
        </w:rPr>
        <w:t xml:space="preserve"> oral dosage form was</w:t>
      </w:r>
      <w:r w:rsidRPr="005F4CC8">
        <w:rPr>
          <w:rFonts w:ascii="Times New Roman" w:hAnsi="Times New Roman" w:cs="Times New Roman"/>
          <w:sz w:val="22"/>
        </w:rPr>
        <w:t xml:space="preserve"> widely used </w:t>
      </w:r>
      <w:r>
        <w:rPr>
          <w:rFonts w:ascii="Times New Roman" w:hAnsi="Times New Roman" w:cs="Times New Roman" w:hint="eastAsia"/>
          <w:sz w:val="22"/>
        </w:rPr>
        <w:t>w</w:t>
      </w:r>
      <w:r>
        <w:rPr>
          <w:rFonts w:ascii="Times New Roman" w:hAnsi="Times New Roman" w:cs="Times New Roman"/>
          <w:sz w:val="22"/>
        </w:rPr>
        <w:t>ith</w:t>
      </w:r>
      <w:r w:rsidRPr="005F4CC8">
        <w:rPr>
          <w:rFonts w:ascii="Times New Roman" w:hAnsi="Times New Roman" w:cs="Times New Roman"/>
          <w:sz w:val="22"/>
        </w:rPr>
        <w:t xml:space="preserve"> </w:t>
      </w:r>
      <w:r>
        <w:rPr>
          <w:rFonts w:ascii="Times New Roman" w:hAnsi="Times New Roman" w:cs="Times New Roman"/>
          <w:sz w:val="22"/>
        </w:rPr>
        <w:t>Alzheimer’s</w:t>
      </w:r>
      <w:r w:rsidRPr="005F4CC8">
        <w:rPr>
          <w:rFonts w:ascii="Times New Roman" w:hAnsi="Times New Roman" w:cs="Times New Roman"/>
          <w:sz w:val="22"/>
        </w:rPr>
        <w:t xml:space="preserve"> disease </w:t>
      </w:r>
      <w:r>
        <w:rPr>
          <w:rFonts w:ascii="Times New Roman" w:hAnsi="Times New Roman" w:cs="Times New Roman"/>
          <w:sz w:val="22"/>
        </w:rPr>
        <w:t>in last decades</w:t>
      </w:r>
      <w:r w:rsidRPr="005F4CC8">
        <w:rPr>
          <w:rFonts w:ascii="Times New Roman" w:hAnsi="Times New Roman" w:cs="Times New Roman"/>
          <w:sz w:val="22"/>
        </w:rPr>
        <w:t xml:space="preserve">. </w:t>
      </w:r>
      <w:r>
        <w:rPr>
          <w:rFonts w:ascii="Times New Roman" w:hAnsi="Times New Roman" w:cs="Times New Roman"/>
          <w:sz w:val="22"/>
        </w:rPr>
        <w:t xml:space="preserve">Since adverse drug reaction (ADR) related on fast absorption of donepezil per oral (PO) were reported by previous reports, donepezil patch is evolved as an alternative treatment. However, the large variability </w:t>
      </w:r>
      <w:proofErr w:type="spellStart"/>
      <w:r>
        <w:rPr>
          <w:rFonts w:ascii="Times New Roman" w:hAnsi="Times New Roman" w:cs="Times New Roman"/>
          <w:sz w:val="22"/>
        </w:rPr>
        <w:t>orginated</w:t>
      </w:r>
      <w:proofErr w:type="spellEnd"/>
      <w:r>
        <w:rPr>
          <w:rFonts w:ascii="Times New Roman" w:hAnsi="Times New Roman" w:cs="Times New Roman"/>
          <w:sz w:val="22"/>
        </w:rPr>
        <w:t xml:space="preserve"> from dermal absorption and change of dosage form from oral to patch would be generated by poor PK prediction of donepezil patch. Therefore, The main aim of this study is to develop donepezil pharmacokinetic modeling based on </w:t>
      </w:r>
      <w:r w:rsidRPr="005F4CC8">
        <w:rPr>
          <w:rFonts w:ascii="Times New Roman" w:hAnsi="Times New Roman" w:cs="Times New Roman"/>
          <w:sz w:val="22"/>
        </w:rPr>
        <w:t xml:space="preserve">population </w:t>
      </w:r>
      <w:r>
        <w:rPr>
          <w:rFonts w:ascii="Times New Roman" w:hAnsi="Times New Roman" w:cs="Times New Roman"/>
          <w:sz w:val="22"/>
        </w:rPr>
        <w:t xml:space="preserve">approaches to convert equivalent systemic exposure prediction from oral to patch and its application to figure out optimal patch dosage in comparisons with therapeutic dose of donepezil oral form. </w:t>
      </w:r>
    </w:p>
    <w:p w14:paraId="51304CDD" w14:textId="2EBA6490" w:rsidR="003E1933" w:rsidRPr="00BB1EEC" w:rsidRDefault="003E1933" w:rsidP="003E1933">
      <w:pPr>
        <w:pStyle w:val="2"/>
        <w:rPr>
          <w:rFonts w:ascii="Times New Roman" w:hAnsi="Times New Roman" w:cs="Times New Roman"/>
          <w:sz w:val="22"/>
        </w:rPr>
      </w:pPr>
      <w:r w:rsidRPr="005F4CC8">
        <w:rPr>
          <w:rFonts w:ascii="Times New Roman" w:hAnsi="Times New Roman" w:cs="Times New Roman"/>
          <w:b/>
          <w:bCs/>
          <w:sz w:val="22"/>
        </w:rPr>
        <w:t xml:space="preserve">Methods: </w:t>
      </w:r>
      <w:r w:rsidRPr="00BF20B2">
        <w:rPr>
          <w:rFonts w:ascii="Times New Roman" w:hAnsi="Times New Roman" w:cs="Times New Roman"/>
          <w:sz w:val="22"/>
        </w:rPr>
        <w:t xml:space="preserve">To </w:t>
      </w:r>
      <w:r>
        <w:rPr>
          <w:rFonts w:ascii="Times New Roman" w:hAnsi="Times New Roman" w:cs="Times New Roman"/>
          <w:sz w:val="22"/>
        </w:rPr>
        <w:t xml:space="preserve">develop donepezil PK model, </w:t>
      </w:r>
      <w:r w:rsidRPr="00BF20B2">
        <w:rPr>
          <w:rFonts w:ascii="Times New Roman" w:hAnsi="Times New Roman" w:cs="Times New Roman"/>
          <w:i/>
          <w:iCs/>
          <w:sz w:val="22"/>
        </w:rPr>
        <w:t>in-vit</w:t>
      </w:r>
      <w:r>
        <w:rPr>
          <w:rFonts w:ascii="Times New Roman" w:hAnsi="Times New Roman" w:cs="Times New Roman"/>
          <w:i/>
          <w:iCs/>
          <w:sz w:val="22"/>
        </w:rPr>
        <w:t>ro</w:t>
      </w:r>
      <w:r>
        <w:rPr>
          <w:rFonts w:ascii="Times New Roman" w:hAnsi="Times New Roman" w:cs="Times New Roman"/>
          <w:sz w:val="22"/>
        </w:rPr>
        <w:t xml:space="preserve"> skin permeability test of patch, single dose phase I clinical trials for donepezil 10mg PO and three dosage of patch (80mg</w:t>
      </w:r>
      <w:r w:rsidRPr="005F4CC8">
        <w:rPr>
          <w:rFonts w:ascii="Times New Roman" w:hAnsi="Times New Roman" w:cs="Times New Roman"/>
          <w:sz w:val="22"/>
        </w:rPr>
        <w:t>,</w:t>
      </w:r>
      <w:r>
        <w:rPr>
          <w:rFonts w:ascii="Times New Roman" w:hAnsi="Times New Roman" w:cs="Times New Roman"/>
          <w:sz w:val="22"/>
        </w:rPr>
        <w:t xml:space="preserve"> 120mg </w:t>
      </w:r>
      <w:r w:rsidRPr="005F4CC8">
        <w:rPr>
          <w:rFonts w:ascii="Times New Roman" w:hAnsi="Times New Roman" w:cs="Times New Roman"/>
          <w:sz w:val="22"/>
        </w:rPr>
        <w:t xml:space="preserve">and </w:t>
      </w:r>
      <w:r>
        <w:rPr>
          <w:rFonts w:ascii="Times New Roman" w:hAnsi="Times New Roman" w:cs="Times New Roman"/>
          <w:sz w:val="22"/>
        </w:rPr>
        <w:t>160mg</w:t>
      </w:r>
      <w:r w:rsidRPr="00BF20B2">
        <w:rPr>
          <w:rFonts w:ascii="Times New Roman" w:hAnsi="Times New Roman" w:cs="Times New Roman"/>
          <w:sz w:val="22"/>
        </w:rPr>
        <w:t>)</w:t>
      </w:r>
      <w:r>
        <w:rPr>
          <w:rFonts w:ascii="Times New Roman" w:hAnsi="Times New Roman" w:cs="Times New Roman"/>
          <w:sz w:val="22"/>
        </w:rPr>
        <w:t xml:space="preserve"> were conducted. Model selection was driven by a significant decrease in the </w:t>
      </w:r>
      <w:r w:rsidRPr="005F4CC8">
        <w:rPr>
          <w:rFonts w:ascii="Times New Roman" w:hAnsi="Times New Roman" w:cs="Times New Roman"/>
          <w:sz w:val="22"/>
        </w:rPr>
        <w:t xml:space="preserve">objective function value, </w:t>
      </w:r>
      <w:r>
        <w:rPr>
          <w:rFonts w:ascii="Times New Roman" w:hAnsi="Times New Roman" w:cs="Times New Roman"/>
          <w:sz w:val="22"/>
        </w:rPr>
        <w:t>and successful minimization and covariate estimation</w:t>
      </w:r>
      <w:r w:rsidRPr="005F4CC8">
        <w:rPr>
          <w:rFonts w:ascii="Times New Roman" w:hAnsi="Times New Roman" w:cs="Times New Roman"/>
          <w:sz w:val="22"/>
        </w:rPr>
        <w:t>.</w:t>
      </w:r>
      <w:r>
        <w:rPr>
          <w:rFonts w:ascii="Times New Roman" w:hAnsi="Times New Roman" w:cs="Times New Roman"/>
          <w:sz w:val="22"/>
        </w:rPr>
        <w:t xml:space="preserve"> After completion of model </w:t>
      </w:r>
      <w:r w:rsidR="00BE6092">
        <w:rPr>
          <w:rFonts w:ascii="Times New Roman" w:hAnsi="Times New Roman" w:cs="Times New Roman"/>
          <w:sz w:val="22"/>
        </w:rPr>
        <w:t>developmen</w:t>
      </w:r>
      <w:r>
        <w:rPr>
          <w:rFonts w:ascii="Times New Roman" w:hAnsi="Times New Roman" w:cs="Times New Roman"/>
          <w:sz w:val="22"/>
        </w:rPr>
        <w:t>t, area under the plasma curve (</w:t>
      </w:r>
      <w:proofErr w:type="spellStart"/>
      <w:r>
        <w:rPr>
          <w:rFonts w:ascii="Times New Roman" w:hAnsi="Times New Roman" w:cs="Times New Roman"/>
          <w:sz w:val="22"/>
        </w:rPr>
        <w:t>AUC</w:t>
      </w:r>
      <w:r>
        <w:rPr>
          <w:rFonts w:ascii="Times New Roman" w:hAnsi="Times New Roman" w:cs="Times New Roman"/>
          <w:sz w:val="22"/>
          <w:vertAlign w:val="subscript"/>
        </w:rPr>
        <w:t>ss</w:t>
      </w:r>
      <w:proofErr w:type="spellEnd"/>
      <w:r>
        <w:rPr>
          <w:rFonts w:ascii="Times New Roman" w:hAnsi="Times New Roman" w:cs="Times New Roman"/>
          <w:sz w:val="22"/>
        </w:rPr>
        <w:t>) and maximum plasma concentration (</w:t>
      </w:r>
      <w:proofErr w:type="spellStart"/>
      <w:r>
        <w:rPr>
          <w:rFonts w:ascii="Times New Roman" w:hAnsi="Times New Roman" w:cs="Times New Roman"/>
          <w:sz w:val="22"/>
        </w:rPr>
        <w:t>C</w:t>
      </w:r>
      <w:r w:rsidRPr="00BF20B2">
        <w:rPr>
          <w:rFonts w:ascii="Times New Roman" w:hAnsi="Times New Roman" w:cs="Times New Roman"/>
          <w:sz w:val="22"/>
          <w:vertAlign w:val="subscript"/>
        </w:rPr>
        <w:t>max,ss</w:t>
      </w:r>
      <w:proofErr w:type="spellEnd"/>
      <w:r>
        <w:rPr>
          <w:rFonts w:ascii="Times New Roman" w:hAnsi="Times New Roman" w:cs="Times New Roman"/>
          <w:sz w:val="22"/>
        </w:rPr>
        <w:t>) at steady-state in dosing interval were calculated in simulation results to explore therapeutic equivalent dose between dosage forms. Simulation applied once weekly for 4 weeks with patch</w:t>
      </w:r>
      <w:r w:rsidRPr="005F4CC8">
        <w:rPr>
          <w:rFonts w:ascii="Times New Roman" w:hAnsi="Times New Roman" w:cs="Times New Roman"/>
          <w:sz w:val="22"/>
        </w:rPr>
        <w:t xml:space="preserve"> </w:t>
      </w:r>
      <w:r>
        <w:rPr>
          <w:rFonts w:ascii="Times New Roman" w:hAnsi="Times New Roman" w:cs="Times New Roman"/>
          <w:sz w:val="22"/>
        </w:rPr>
        <w:t xml:space="preserve">versus once daily for a week with oral, was performed based on 2 by 2 crossover designs. The therapeutic equivalent dose were decided using bioequivalence (BE) criteria (0.80 ~ 1.25 of ln transformed </w:t>
      </w:r>
      <w:proofErr w:type="spellStart"/>
      <w:r>
        <w:rPr>
          <w:rFonts w:ascii="Times New Roman" w:hAnsi="Times New Roman" w:cs="Times New Roman"/>
          <w:sz w:val="22"/>
        </w:rPr>
        <w:t>AUC</w:t>
      </w:r>
      <w:r w:rsidRPr="00FE4993">
        <w:rPr>
          <w:rFonts w:ascii="Times New Roman" w:hAnsi="Times New Roman" w:cs="Times New Roman"/>
          <w:sz w:val="22"/>
          <w:vertAlign w:val="subscript"/>
        </w:rPr>
        <w:t>ss</w:t>
      </w:r>
      <w:proofErr w:type="spellEnd"/>
      <w:r>
        <w:rPr>
          <w:rFonts w:ascii="Times New Roman" w:hAnsi="Times New Roman" w:cs="Times New Roman"/>
          <w:sz w:val="22"/>
        </w:rPr>
        <w:t xml:space="preserve"> and </w:t>
      </w:r>
      <w:proofErr w:type="spellStart"/>
      <w:r>
        <w:rPr>
          <w:rFonts w:ascii="Times New Roman" w:hAnsi="Times New Roman" w:cs="Times New Roman"/>
          <w:sz w:val="22"/>
        </w:rPr>
        <w:t>C</w:t>
      </w:r>
      <w:r w:rsidRPr="00FE4993">
        <w:rPr>
          <w:rFonts w:ascii="Times New Roman" w:hAnsi="Times New Roman" w:cs="Times New Roman"/>
          <w:sz w:val="22"/>
          <w:vertAlign w:val="subscript"/>
        </w:rPr>
        <w:t>max,ss</w:t>
      </w:r>
      <w:proofErr w:type="spellEnd"/>
      <w:r>
        <w:rPr>
          <w:rFonts w:ascii="Times New Roman" w:hAnsi="Times New Roman" w:cs="Times New Roman"/>
          <w:sz w:val="22"/>
        </w:rPr>
        <w:t xml:space="preserve">). The PK model were analyzed using NONMEM 7.4 assisted by </w:t>
      </w:r>
      <w:proofErr w:type="spellStart"/>
      <w:r>
        <w:rPr>
          <w:rFonts w:ascii="Times New Roman" w:hAnsi="Times New Roman" w:cs="Times New Roman"/>
          <w:sz w:val="22"/>
        </w:rPr>
        <w:t>PsN</w:t>
      </w:r>
      <w:proofErr w:type="spellEnd"/>
      <w:r>
        <w:rPr>
          <w:rFonts w:ascii="Times New Roman" w:hAnsi="Times New Roman" w:cs="Times New Roman"/>
          <w:sz w:val="22"/>
        </w:rPr>
        <w:t xml:space="preserve"> 4.9.0., and </w:t>
      </w:r>
      <w:proofErr w:type="spellStart"/>
      <w:r w:rsidRPr="0095445B">
        <w:rPr>
          <w:rFonts w:ascii="Times New Roman" w:hAnsi="Times New Roman" w:cs="Times New Roman"/>
          <w:sz w:val="22"/>
        </w:rPr>
        <w:t>Pheonix</w:t>
      </w:r>
      <w:proofErr w:type="spellEnd"/>
      <w:r w:rsidRPr="00FE4993">
        <w:rPr>
          <w:rFonts w:ascii="Times New Roman" w:eastAsia="맑은 고딕" w:hAnsi="Times New Roman" w:cs="Times New Roman" w:hint="eastAsia"/>
          <w:sz w:val="22"/>
          <w:vertAlign w:val="superscript"/>
        </w:rPr>
        <w:t>®</w:t>
      </w:r>
      <w:r w:rsidRPr="00BF20B2">
        <w:rPr>
          <w:rFonts w:ascii="Times New Roman" w:eastAsia="맑은 고딕" w:hAnsi="Times New Roman" w:cs="Times New Roman"/>
          <w:sz w:val="22"/>
        </w:rPr>
        <w:t xml:space="preserve"> 8.1.</w:t>
      </w:r>
      <w:r>
        <w:rPr>
          <w:rFonts w:ascii="Times New Roman" w:eastAsia="맑은 고딕" w:hAnsi="Times New Roman" w:cs="Times New Roman"/>
          <w:sz w:val="22"/>
        </w:rPr>
        <w:t xml:space="preserve"> were used for calculation of </w:t>
      </w:r>
      <w:proofErr w:type="spellStart"/>
      <w:r>
        <w:rPr>
          <w:rFonts w:ascii="Times New Roman" w:hAnsi="Times New Roman" w:cs="Times New Roman"/>
          <w:sz w:val="22"/>
        </w:rPr>
        <w:t>AUC</w:t>
      </w:r>
      <w:r w:rsidRPr="00FE4993">
        <w:rPr>
          <w:rFonts w:ascii="Times New Roman" w:hAnsi="Times New Roman" w:cs="Times New Roman"/>
          <w:sz w:val="22"/>
          <w:vertAlign w:val="subscript"/>
        </w:rPr>
        <w:t>ss</w:t>
      </w:r>
      <w:proofErr w:type="spellEnd"/>
      <w:r>
        <w:rPr>
          <w:rFonts w:ascii="Times New Roman" w:hAnsi="Times New Roman" w:cs="Times New Roman"/>
          <w:sz w:val="22"/>
        </w:rPr>
        <w:t xml:space="preserve"> and </w:t>
      </w:r>
      <w:proofErr w:type="spellStart"/>
      <w:r>
        <w:rPr>
          <w:rFonts w:ascii="Times New Roman" w:hAnsi="Times New Roman" w:cs="Times New Roman"/>
          <w:sz w:val="22"/>
        </w:rPr>
        <w:t>C</w:t>
      </w:r>
      <w:r w:rsidRPr="00FE4993">
        <w:rPr>
          <w:rFonts w:ascii="Times New Roman" w:hAnsi="Times New Roman" w:cs="Times New Roman"/>
          <w:sz w:val="22"/>
          <w:vertAlign w:val="subscript"/>
        </w:rPr>
        <w:t>max,ss</w:t>
      </w:r>
      <w:proofErr w:type="spellEnd"/>
      <w:r>
        <w:rPr>
          <w:rFonts w:ascii="Times New Roman" w:hAnsi="Times New Roman" w:cs="Times New Roman"/>
          <w:sz w:val="22"/>
          <w:vertAlign w:val="subscript"/>
        </w:rPr>
        <w:t xml:space="preserve"> </w:t>
      </w:r>
      <w:r w:rsidRPr="00BF20B2">
        <w:rPr>
          <w:rFonts w:ascii="Times New Roman" w:hAnsi="Times New Roman" w:cs="Times New Roman"/>
          <w:sz w:val="22"/>
        </w:rPr>
        <w:t xml:space="preserve">and </w:t>
      </w:r>
      <w:r>
        <w:rPr>
          <w:rFonts w:ascii="Times New Roman" w:hAnsi="Times New Roman" w:cs="Times New Roman"/>
          <w:sz w:val="22"/>
        </w:rPr>
        <w:t xml:space="preserve">judgement of therapeutic equivalent dose. </w:t>
      </w:r>
    </w:p>
    <w:p w14:paraId="4501A6EE" w14:textId="342EC060" w:rsidR="003E1933" w:rsidRPr="005F4CC8" w:rsidRDefault="003E1933" w:rsidP="003E1933">
      <w:pPr>
        <w:pStyle w:val="2"/>
        <w:rPr>
          <w:rFonts w:ascii="Times New Roman" w:hAnsi="Times New Roman" w:cs="Times New Roman"/>
          <w:sz w:val="22"/>
        </w:rPr>
      </w:pPr>
      <w:r w:rsidRPr="005F4CC8">
        <w:rPr>
          <w:rFonts w:ascii="Times New Roman" w:hAnsi="Times New Roman" w:cs="Times New Roman"/>
          <w:b/>
          <w:bCs/>
          <w:sz w:val="22"/>
        </w:rPr>
        <w:t xml:space="preserve">Results: </w:t>
      </w:r>
      <w:r>
        <w:rPr>
          <w:rFonts w:ascii="Times New Roman" w:hAnsi="Times New Roman" w:cs="Times New Roman"/>
          <w:sz w:val="22"/>
        </w:rPr>
        <w:t xml:space="preserve">Zero-order kinetics based on </w:t>
      </w:r>
      <w:r w:rsidRPr="00FE4993">
        <w:rPr>
          <w:rFonts w:ascii="Times New Roman" w:hAnsi="Times New Roman" w:cs="Times New Roman"/>
          <w:i/>
          <w:iCs/>
          <w:sz w:val="22"/>
        </w:rPr>
        <w:t>in-vit</w:t>
      </w:r>
      <w:r>
        <w:rPr>
          <w:rFonts w:ascii="Times New Roman" w:hAnsi="Times New Roman" w:cs="Times New Roman"/>
          <w:i/>
          <w:iCs/>
          <w:sz w:val="22"/>
        </w:rPr>
        <w:t>ro</w:t>
      </w:r>
      <w:r>
        <w:rPr>
          <w:rFonts w:ascii="Times New Roman" w:hAnsi="Times New Roman" w:cs="Times New Roman"/>
          <w:sz w:val="22"/>
        </w:rPr>
        <w:t xml:space="preserve"> skin permeability test from skin to depot compartment were applied to explain dermal absorption pattern of patch. In addition, first-order absorption was used for absorption of depot to central compartment for patch and it is also used for oral absorption of donepezil on each. Both of each absorption model were connected to central compartment for systemic   merged into at one</w:t>
      </w:r>
      <w:r w:rsidRPr="005F4CC8">
        <w:rPr>
          <w:rFonts w:ascii="Times New Roman" w:hAnsi="Times New Roman" w:cs="Times New Roman"/>
          <w:sz w:val="22"/>
        </w:rPr>
        <w:t>.</w:t>
      </w:r>
      <w:r>
        <w:rPr>
          <w:rFonts w:ascii="Times New Roman" w:hAnsi="Times New Roman" w:cs="Times New Roman"/>
          <w:sz w:val="22"/>
        </w:rPr>
        <w:t xml:space="preserve"> According to simulation results using final model, </w:t>
      </w:r>
      <w:proofErr w:type="spellStart"/>
      <w:r>
        <w:rPr>
          <w:rFonts w:ascii="Times New Roman" w:hAnsi="Times New Roman" w:cs="Times New Roman"/>
          <w:sz w:val="22"/>
        </w:rPr>
        <w:t>AUC</w:t>
      </w:r>
      <w:r w:rsidRPr="00FE4993">
        <w:rPr>
          <w:rFonts w:ascii="Times New Roman" w:hAnsi="Times New Roman" w:cs="Times New Roman"/>
          <w:sz w:val="22"/>
          <w:vertAlign w:val="subscript"/>
        </w:rPr>
        <w:t>ss</w:t>
      </w:r>
      <w:proofErr w:type="spellEnd"/>
      <w:r>
        <w:rPr>
          <w:rFonts w:ascii="Times New Roman" w:hAnsi="Times New Roman" w:cs="Times New Roman"/>
          <w:sz w:val="22"/>
        </w:rPr>
        <w:t xml:space="preserve"> and </w:t>
      </w:r>
      <w:proofErr w:type="spellStart"/>
      <w:r>
        <w:rPr>
          <w:rFonts w:ascii="Times New Roman" w:hAnsi="Times New Roman" w:cs="Times New Roman"/>
          <w:sz w:val="22"/>
        </w:rPr>
        <w:t>C</w:t>
      </w:r>
      <w:r w:rsidRPr="00FE4993">
        <w:rPr>
          <w:rFonts w:ascii="Times New Roman" w:hAnsi="Times New Roman" w:cs="Times New Roman"/>
          <w:sz w:val="22"/>
          <w:vertAlign w:val="subscript"/>
        </w:rPr>
        <w:t>max,ss</w:t>
      </w:r>
      <w:proofErr w:type="spellEnd"/>
      <w:r w:rsidRPr="00BF20B2">
        <w:rPr>
          <w:rFonts w:ascii="Times New Roman" w:hAnsi="Times New Roman" w:cs="Times New Roman"/>
          <w:sz w:val="22"/>
        </w:rPr>
        <w:t xml:space="preserve"> were </w:t>
      </w:r>
      <w:r>
        <w:rPr>
          <w:rFonts w:ascii="Times New Roman" w:hAnsi="Times New Roman" w:cs="Times New Roman"/>
          <w:sz w:val="22"/>
        </w:rPr>
        <w:t>predicted  6452g</w:t>
      </w:r>
      <m:oMath>
        <m:r>
          <w:rPr>
            <w:rFonts w:ascii="Cambria Math" w:hAnsi="Cambria Math" w:cs="Times New Roman"/>
            <w:sz w:val="22"/>
          </w:rPr>
          <m:t>∙</m:t>
        </m:r>
      </m:oMath>
      <w:r>
        <w:rPr>
          <w:rFonts w:ascii="Times New Roman" w:hAnsi="Times New Roman" w:cs="Times New Roman" w:hint="eastAsia"/>
          <w:sz w:val="22"/>
        </w:rPr>
        <w:t>h</w:t>
      </w:r>
      <w:r>
        <w:rPr>
          <w:rFonts w:ascii="Times New Roman" w:hAnsi="Times New Roman" w:cs="Times New Roman"/>
          <w:sz w:val="22"/>
        </w:rPr>
        <w:t>r/ml (95% confidence interval (CI) 6238~6951 ug</w:t>
      </w:r>
      <m:oMath>
        <m:r>
          <w:rPr>
            <w:rFonts w:ascii="Cambria Math" w:hAnsi="Cambria Math" w:cs="Times New Roman"/>
            <w:sz w:val="22"/>
          </w:rPr>
          <m:t>∙</m:t>
        </m:r>
      </m:oMath>
      <w:r>
        <w:rPr>
          <w:rFonts w:ascii="Times New Roman" w:hAnsi="Times New Roman" w:cs="Times New Roman" w:hint="eastAsia"/>
          <w:sz w:val="22"/>
        </w:rPr>
        <w:t>h</w:t>
      </w:r>
      <w:r>
        <w:rPr>
          <w:rFonts w:ascii="Times New Roman" w:hAnsi="Times New Roman" w:cs="Times New Roman"/>
          <w:sz w:val="22"/>
        </w:rPr>
        <w:t>r/ml) and 67.08ug/ml (95% (CI) 62.55~ 69.89 ug/ml) after done</w:t>
      </w:r>
      <w:bookmarkStart w:id="0" w:name="_GoBack"/>
      <w:bookmarkEnd w:id="0"/>
      <w:r>
        <w:rPr>
          <w:rFonts w:ascii="Times New Roman" w:hAnsi="Times New Roman" w:cs="Times New Roman"/>
          <w:sz w:val="22"/>
        </w:rPr>
        <w:t xml:space="preserve">pezil 10mg once daily dose during 7 days at steady-state. The </w:t>
      </w:r>
      <w:proofErr w:type="spellStart"/>
      <w:r>
        <w:rPr>
          <w:rFonts w:ascii="Times New Roman" w:hAnsi="Times New Roman" w:cs="Times New Roman"/>
          <w:sz w:val="22"/>
        </w:rPr>
        <w:t>AUC</w:t>
      </w:r>
      <w:r w:rsidRPr="00FE4993">
        <w:rPr>
          <w:rFonts w:ascii="Times New Roman" w:hAnsi="Times New Roman" w:cs="Times New Roman"/>
          <w:sz w:val="22"/>
          <w:vertAlign w:val="subscript"/>
        </w:rPr>
        <w:t>ss</w:t>
      </w:r>
      <w:proofErr w:type="spellEnd"/>
      <w:r w:rsidDel="00E244D6">
        <w:rPr>
          <w:rFonts w:ascii="Times New Roman" w:hAnsi="Times New Roman" w:cs="Times New Roman"/>
          <w:sz w:val="22"/>
        </w:rPr>
        <w:t xml:space="preserve"> </w:t>
      </w:r>
      <w:r>
        <w:rPr>
          <w:rFonts w:ascii="Times New Roman" w:hAnsi="Times New Roman" w:cs="Times New Roman"/>
          <w:sz w:val="22"/>
        </w:rPr>
        <w:t xml:space="preserve">and </w:t>
      </w:r>
      <w:proofErr w:type="spellStart"/>
      <w:r>
        <w:rPr>
          <w:rFonts w:ascii="Times New Roman" w:hAnsi="Times New Roman" w:cs="Times New Roman"/>
          <w:sz w:val="22"/>
        </w:rPr>
        <w:t>C</w:t>
      </w:r>
      <w:r w:rsidRPr="00FE4993">
        <w:rPr>
          <w:rFonts w:ascii="Times New Roman" w:hAnsi="Times New Roman" w:cs="Times New Roman"/>
          <w:sz w:val="22"/>
          <w:vertAlign w:val="subscript"/>
        </w:rPr>
        <w:t>max,ss</w:t>
      </w:r>
      <w:proofErr w:type="spellEnd"/>
      <w:r w:rsidRPr="00FE4993">
        <w:rPr>
          <w:rFonts w:ascii="Times New Roman" w:hAnsi="Times New Roman" w:cs="Times New Roman"/>
          <w:sz w:val="22"/>
        </w:rPr>
        <w:t xml:space="preserve"> </w:t>
      </w:r>
      <w:r>
        <w:rPr>
          <w:rFonts w:ascii="Times New Roman" w:hAnsi="Times New Roman" w:cs="Times New Roman"/>
          <w:sz w:val="22"/>
        </w:rPr>
        <w:t xml:space="preserve">of 170mg of donepezil </w:t>
      </w:r>
      <w:r w:rsidRPr="005F4CC8">
        <w:rPr>
          <w:rFonts w:ascii="Times New Roman" w:hAnsi="Times New Roman" w:cs="Times New Roman"/>
          <w:sz w:val="22"/>
        </w:rPr>
        <w:t>patch</w:t>
      </w:r>
      <w:r>
        <w:rPr>
          <w:rFonts w:ascii="Times New Roman" w:hAnsi="Times New Roman" w:cs="Times New Roman"/>
          <w:sz w:val="22"/>
        </w:rPr>
        <w:t xml:space="preserve"> are expected as equivalent</w:t>
      </w:r>
      <w:r w:rsidRPr="005F4CC8">
        <w:rPr>
          <w:rFonts w:ascii="Times New Roman" w:hAnsi="Times New Roman" w:cs="Times New Roman"/>
          <w:sz w:val="22"/>
        </w:rPr>
        <w:t xml:space="preserve"> </w:t>
      </w:r>
      <w:r>
        <w:rPr>
          <w:rFonts w:ascii="Times New Roman" w:hAnsi="Times New Roman" w:cs="Times New Roman"/>
          <w:sz w:val="22"/>
        </w:rPr>
        <w:t>to</w:t>
      </w:r>
      <w:r w:rsidRPr="005F4CC8">
        <w:rPr>
          <w:rFonts w:ascii="Times New Roman" w:hAnsi="Times New Roman" w:cs="Times New Roman"/>
          <w:sz w:val="22"/>
        </w:rPr>
        <w:t xml:space="preserve"> </w:t>
      </w:r>
      <w:r>
        <w:rPr>
          <w:rFonts w:ascii="Times New Roman" w:hAnsi="Times New Roman" w:cs="Times New Roman"/>
          <w:sz w:val="22"/>
        </w:rPr>
        <w:t xml:space="preserve">those of oral </w:t>
      </w:r>
      <w:r w:rsidRPr="005F4CC8">
        <w:rPr>
          <w:rFonts w:ascii="Times New Roman" w:hAnsi="Times New Roman" w:cs="Times New Roman"/>
          <w:sz w:val="22"/>
        </w:rPr>
        <w:t>donepezil.</w:t>
      </w:r>
    </w:p>
    <w:p w14:paraId="6B6DE0D5" w14:textId="34B8E4D0" w:rsidR="003E1933" w:rsidRPr="005F4CC8" w:rsidRDefault="003E1933" w:rsidP="003E1933">
      <w:pPr>
        <w:rPr>
          <w:rFonts w:ascii="Times New Roman" w:hAnsi="Times New Roman" w:cs="Times New Roman"/>
          <w:sz w:val="22"/>
        </w:rPr>
      </w:pPr>
      <w:r w:rsidRPr="005F4CC8">
        <w:rPr>
          <w:rFonts w:ascii="Times New Roman" w:hAnsi="Times New Roman" w:cs="Times New Roman"/>
          <w:b/>
          <w:bCs/>
          <w:sz w:val="22"/>
        </w:rPr>
        <w:t>Conclusions:</w:t>
      </w:r>
      <w:r>
        <w:rPr>
          <w:rFonts w:ascii="Times New Roman" w:hAnsi="Times New Roman" w:cs="Times New Roman"/>
          <w:b/>
          <w:bCs/>
          <w:sz w:val="22"/>
        </w:rPr>
        <w:t xml:space="preserve"> </w:t>
      </w:r>
      <w:r w:rsidRPr="00BF20B2">
        <w:rPr>
          <w:rFonts w:ascii="Times New Roman" w:hAnsi="Times New Roman" w:cs="Times New Roman"/>
          <w:sz w:val="22"/>
        </w:rPr>
        <w:t>The</w:t>
      </w:r>
      <w:r>
        <w:rPr>
          <w:rFonts w:ascii="Times New Roman" w:hAnsi="Times New Roman" w:cs="Times New Roman"/>
          <w:sz w:val="22"/>
        </w:rPr>
        <w:t xml:space="preserve"> o</w:t>
      </w:r>
      <w:r w:rsidRPr="005F4CC8">
        <w:rPr>
          <w:rFonts w:ascii="Times New Roman" w:hAnsi="Times New Roman" w:cs="Times New Roman"/>
          <w:sz w:val="22"/>
        </w:rPr>
        <w:t>ral</w:t>
      </w:r>
      <w:r>
        <w:rPr>
          <w:rFonts w:ascii="Times New Roman" w:hAnsi="Times New Roman" w:cs="Times New Roman"/>
          <w:sz w:val="22"/>
        </w:rPr>
        <w:t xml:space="preserve"> </w:t>
      </w:r>
      <w:r w:rsidRPr="005F4CC8">
        <w:rPr>
          <w:rFonts w:ascii="Times New Roman" w:hAnsi="Times New Roman" w:cs="Times New Roman"/>
          <w:sz w:val="22"/>
        </w:rPr>
        <w:t xml:space="preserve">and </w:t>
      </w:r>
      <w:r>
        <w:rPr>
          <w:rFonts w:ascii="Times New Roman" w:hAnsi="Times New Roman" w:cs="Times New Roman"/>
          <w:sz w:val="22"/>
        </w:rPr>
        <w:t>t</w:t>
      </w:r>
      <w:r w:rsidRPr="005F4CC8">
        <w:rPr>
          <w:rFonts w:ascii="Times New Roman" w:hAnsi="Times New Roman" w:cs="Times New Roman"/>
          <w:sz w:val="22"/>
        </w:rPr>
        <w:t xml:space="preserve">ransdermal patch donepezil </w:t>
      </w:r>
      <w:proofErr w:type="spellStart"/>
      <w:r>
        <w:rPr>
          <w:rFonts w:ascii="Times New Roman" w:hAnsi="Times New Roman" w:cs="Times New Roman"/>
          <w:sz w:val="22"/>
        </w:rPr>
        <w:t>p</w:t>
      </w:r>
      <w:r w:rsidRPr="005F4CC8">
        <w:rPr>
          <w:rFonts w:ascii="Times New Roman" w:hAnsi="Times New Roman" w:cs="Times New Roman"/>
          <w:sz w:val="22"/>
        </w:rPr>
        <w:t>opP</w:t>
      </w:r>
      <w:r>
        <w:rPr>
          <w:rFonts w:ascii="Times New Roman" w:hAnsi="Times New Roman" w:cs="Times New Roman"/>
          <w:sz w:val="22"/>
        </w:rPr>
        <w:t>K</w:t>
      </w:r>
      <w:proofErr w:type="spellEnd"/>
      <w:r>
        <w:rPr>
          <w:rFonts w:ascii="Times New Roman" w:hAnsi="Times New Roman" w:cs="Times New Roman"/>
          <w:sz w:val="22"/>
        </w:rPr>
        <w:t xml:space="preserve"> model was well established and successfully converted by dose between patch and oral form of donepezil. Furthermore, w</w:t>
      </w:r>
      <w:r w:rsidRPr="005F4CC8">
        <w:rPr>
          <w:rFonts w:ascii="Times New Roman" w:hAnsi="Times New Roman" w:cs="Times New Roman"/>
          <w:sz w:val="22"/>
        </w:rPr>
        <w:t>e</w:t>
      </w:r>
      <w:r>
        <w:rPr>
          <w:rFonts w:ascii="Times New Roman" w:hAnsi="Times New Roman" w:cs="Times New Roman"/>
          <w:sz w:val="22"/>
        </w:rPr>
        <w:t xml:space="preserve"> could suggest</w:t>
      </w:r>
      <w:r w:rsidRPr="005F4CC8">
        <w:rPr>
          <w:rFonts w:ascii="Times New Roman" w:hAnsi="Times New Roman" w:cs="Times New Roman"/>
          <w:sz w:val="22"/>
        </w:rPr>
        <w:t xml:space="preserve"> patch</w:t>
      </w:r>
      <w:r>
        <w:rPr>
          <w:rFonts w:ascii="Times New Roman" w:hAnsi="Times New Roman" w:cs="Times New Roman"/>
          <w:sz w:val="22"/>
        </w:rPr>
        <w:t xml:space="preserve"> dose which has the same therapeutic equivalent dose to 10mg oral donepezil after multiple dosing administration</w:t>
      </w:r>
      <w:r w:rsidRPr="005F4CC8">
        <w:rPr>
          <w:rFonts w:ascii="Times New Roman" w:hAnsi="Times New Roman" w:cs="Times New Roman"/>
          <w:sz w:val="22"/>
        </w:rPr>
        <w:t xml:space="preserve"> using </w:t>
      </w:r>
      <w:r>
        <w:rPr>
          <w:rFonts w:ascii="Times New Roman" w:hAnsi="Times New Roman" w:cs="Times New Roman"/>
          <w:sz w:val="22"/>
        </w:rPr>
        <w:t>the developed</w:t>
      </w:r>
      <w:r w:rsidRPr="005F4CC8">
        <w:rPr>
          <w:rFonts w:ascii="Times New Roman" w:hAnsi="Times New Roman" w:cs="Times New Roman"/>
          <w:sz w:val="22"/>
        </w:rPr>
        <w:t xml:space="preserve"> model. </w:t>
      </w:r>
      <w:r>
        <w:rPr>
          <w:rFonts w:ascii="Times New Roman" w:hAnsi="Times New Roman" w:cs="Times New Roman"/>
          <w:sz w:val="22"/>
        </w:rPr>
        <w:t>Future studies, following our suggestion, are warranted for constructing population PK models with greater precision.</w:t>
      </w:r>
    </w:p>
    <w:p w14:paraId="71574C8D" w14:textId="77777777" w:rsidR="003E1933" w:rsidRPr="005F4CC8" w:rsidRDefault="003E1933" w:rsidP="003E1933">
      <w:pPr>
        <w:rPr>
          <w:rFonts w:ascii="Times New Roman" w:hAnsi="Times New Roman" w:cs="Times New Roman"/>
          <w:sz w:val="22"/>
        </w:rPr>
      </w:pPr>
    </w:p>
    <w:p w14:paraId="3D20C31F" w14:textId="77777777" w:rsidR="003E1933" w:rsidRPr="005F4CC8" w:rsidRDefault="003E1933" w:rsidP="003E1933">
      <w:pPr>
        <w:rPr>
          <w:rFonts w:ascii="Times New Roman" w:hAnsi="Times New Roman" w:cs="Times New Roman"/>
          <w:sz w:val="22"/>
        </w:rPr>
      </w:pPr>
      <w:r w:rsidRPr="005F4CC8">
        <w:rPr>
          <w:rFonts w:ascii="Times New Roman" w:hAnsi="Times New Roman" w:cs="Times New Roman"/>
          <w:b/>
          <w:bCs/>
          <w:sz w:val="22"/>
        </w:rPr>
        <w:t>References:</w:t>
      </w:r>
    </w:p>
    <w:p w14:paraId="2CEA4684" w14:textId="77777777" w:rsidR="003E1933" w:rsidRPr="00BF20B2" w:rsidRDefault="003E1933" w:rsidP="003E1933">
      <w:pPr>
        <w:pStyle w:val="a3"/>
        <w:numPr>
          <w:ilvl w:val="0"/>
          <w:numId w:val="1"/>
        </w:numPr>
        <w:rPr>
          <w:rFonts w:eastAsia="굴림"/>
          <w:szCs w:val="22"/>
          <w:lang w:val="en"/>
        </w:rPr>
      </w:pPr>
      <w:r>
        <w:rPr>
          <w:rFonts w:eastAsia="굴림"/>
          <w:szCs w:val="22"/>
          <w:lang w:val="en" w:eastAsia="ko-KR"/>
        </w:rPr>
        <w:t xml:space="preserve">S Jackson (2004), The safety and tolerability of donepezil in patients with Alzheimer’s disease. </w:t>
      </w:r>
      <w:r w:rsidRPr="00BF20B2">
        <w:rPr>
          <w:rFonts w:ascii="Arial" w:hAnsi="Arial" w:cs="Arial"/>
          <w:color w:val="000000"/>
          <w:sz w:val="20"/>
          <w:szCs w:val="20"/>
          <w:shd w:val="clear" w:color="auto" w:fill="FFFFFF"/>
        </w:rPr>
        <w:t xml:space="preserve">Br J Clin </w:t>
      </w:r>
      <w:proofErr w:type="spellStart"/>
      <w:r w:rsidRPr="00BF20B2">
        <w:rPr>
          <w:rFonts w:ascii="Arial" w:hAnsi="Arial" w:cs="Arial"/>
          <w:color w:val="000000"/>
          <w:sz w:val="20"/>
          <w:szCs w:val="20"/>
          <w:shd w:val="clear" w:color="auto" w:fill="FFFFFF"/>
        </w:rPr>
        <w:t>Pharmacol</w:t>
      </w:r>
      <w:proofErr w:type="spellEnd"/>
      <w:r>
        <w:rPr>
          <w:rFonts w:ascii="Arial" w:hAnsi="Arial" w:cs="Arial"/>
          <w:color w:val="000000"/>
          <w:sz w:val="20"/>
          <w:szCs w:val="20"/>
          <w:shd w:val="clear" w:color="auto" w:fill="FFFFFF"/>
        </w:rPr>
        <w:t>. 2004 Nov; 58(</w:t>
      </w:r>
      <w:proofErr w:type="spellStart"/>
      <w:r>
        <w:rPr>
          <w:rFonts w:ascii="Arial" w:hAnsi="Arial" w:cs="Arial"/>
          <w:color w:val="000000"/>
          <w:sz w:val="20"/>
          <w:szCs w:val="20"/>
          <w:shd w:val="clear" w:color="auto" w:fill="FFFFFF"/>
        </w:rPr>
        <w:t>Suppl</w:t>
      </w:r>
      <w:proofErr w:type="spellEnd"/>
      <w:r>
        <w:rPr>
          <w:rFonts w:ascii="Arial" w:hAnsi="Arial" w:cs="Arial"/>
          <w:color w:val="000000"/>
          <w:sz w:val="20"/>
          <w:szCs w:val="20"/>
          <w:shd w:val="clear" w:color="auto" w:fill="FFFFFF"/>
        </w:rPr>
        <w:t xml:space="preserve"> 1): 1–8.</w:t>
      </w:r>
      <w:r w:rsidRPr="00786AED">
        <w:rPr>
          <w:rFonts w:ascii="Arial" w:hAnsi="Arial" w:cs="Arial"/>
          <w:color w:val="000000"/>
          <w:sz w:val="20"/>
          <w:szCs w:val="20"/>
          <w:shd w:val="clear" w:color="auto" w:fill="FFFFFF"/>
        </w:rPr>
        <w:t xml:space="preserve"> </w:t>
      </w:r>
      <w:proofErr w:type="spellStart"/>
      <w:r>
        <w:rPr>
          <w:rFonts w:ascii="Arial" w:hAnsi="Arial" w:cs="Arial"/>
          <w:color w:val="000000"/>
          <w:sz w:val="20"/>
          <w:szCs w:val="20"/>
          <w:shd w:val="clear" w:color="auto" w:fill="FFFFFF"/>
        </w:rPr>
        <w:t>doi</w:t>
      </w:r>
      <w:proofErr w:type="spellEnd"/>
      <w:r>
        <w:rPr>
          <w:rFonts w:ascii="Arial" w:hAnsi="Arial" w:cs="Arial"/>
          <w:color w:val="000000"/>
          <w:sz w:val="20"/>
          <w:szCs w:val="20"/>
          <w:shd w:val="clear" w:color="auto" w:fill="FFFFFF"/>
        </w:rPr>
        <w:t>: </w:t>
      </w:r>
      <w:r w:rsidRPr="00BF20B2">
        <w:rPr>
          <w:rFonts w:ascii="Arial" w:hAnsi="Arial" w:cs="Arial"/>
          <w:sz w:val="20"/>
          <w:szCs w:val="20"/>
          <w:shd w:val="clear" w:color="auto" w:fill="FFFFFF"/>
        </w:rPr>
        <w:t>10.1111/j.1365-2125.2004.01848.x</w:t>
      </w:r>
    </w:p>
    <w:p w14:paraId="32A01005" w14:textId="77777777" w:rsidR="003E1933" w:rsidRPr="005F4CC8" w:rsidRDefault="003E1933" w:rsidP="003E1933">
      <w:pPr>
        <w:pStyle w:val="a3"/>
        <w:numPr>
          <w:ilvl w:val="0"/>
          <w:numId w:val="1"/>
        </w:numPr>
        <w:rPr>
          <w:rFonts w:eastAsia="굴림"/>
          <w:szCs w:val="22"/>
          <w:lang w:val="en"/>
        </w:rPr>
      </w:pPr>
      <w:r w:rsidRPr="005F4CC8">
        <w:rPr>
          <w:rFonts w:eastAsiaTheme="minorEastAsia"/>
          <w:szCs w:val="22"/>
          <w:lang w:eastAsia="ko-KR"/>
        </w:rPr>
        <w:lastRenderedPageBreak/>
        <w:t xml:space="preserve">S.L Rogers &amp; </w:t>
      </w:r>
      <w:proofErr w:type="spellStart"/>
      <w:r w:rsidRPr="005F4CC8">
        <w:rPr>
          <w:rFonts w:eastAsiaTheme="minorEastAsia"/>
          <w:szCs w:val="22"/>
          <w:lang w:eastAsia="ko-KR"/>
        </w:rPr>
        <w:t>L.T.Friedhoff</w:t>
      </w:r>
      <w:proofErr w:type="spellEnd"/>
      <w:r w:rsidRPr="005F4CC8">
        <w:rPr>
          <w:rFonts w:eastAsiaTheme="minorEastAsia"/>
          <w:szCs w:val="22"/>
          <w:lang w:eastAsia="ko-KR"/>
        </w:rPr>
        <w:t xml:space="preserve"> (1998) , Pharmacokinetic and pharmacodynamic profile of donepezil HCL following single oral doses. </w:t>
      </w:r>
      <w:r w:rsidRPr="005F4CC8">
        <w:rPr>
          <w:rFonts w:eastAsia="굴림"/>
          <w:szCs w:val="22"/>
          <w:lang w:val="en"/>
        </w:rPr>
        <w:t xml:space="preserve">Br J Clin </w:t>
      </w:r>
      <w:proofErr w:type="spellStart"/>
      <w:r w:rsidRPr="005F4CC8">
        <w:rPr>
          <w:rFonts w:eastAsia="굴림"/>
          <w:szCs w:val="22"/>
          <w:lang w:val="en"/>
        </w:rPr>
        <w:t>Pharmacol</w:t>
      </w:r>
      <w:proofErr w:type="spellEnd"/>
      <w:r w:rsidRPr="005F4CC8">
        <w:rPr>
          <w:rFonts w:eastAsia="굴림"/>
          <w:szCs w:val="22"/>
          <w:lang w:val="en"/>
        </w:rPr>
        <w:t xml:space="preserve">. 1998 Nov; 46(Suppl 1): 1–6. </w:t>
      </w:r>
      <w:proofErr w:type="spellStart"/>
      <w:r w:rsidRPr="005F4CC8">
        <w:rPr>
          <w:rFonts w:eastAsia="굴림"/>
          <w:szCs w:val="22"/>
          <w:lang w:val="en"/>
        </w:rPr>
        <w:t>doi</w:t>
      </w:r>
      <w:proofErr w:type="spellEnd"/>
      <w:r w:rsidRPr="005F4CC8">
        <w:rPr>
          <w:rFonts w:eastAsia="굴림"/>
          <w:szCs w:val="22"/>
          <w:lang w:val="en"/>
        </w:rPr>
        <w:t>: </w:t>
      </w:r>
      <w:hyperlink r:id="rId5" w:tgtFrame="pmc_ext" w:history="1">
        <w:r w:rsidRPr="005F4CC8">
          <w:rPr>
            <w:rFonts w:eastAsia="굴림"/>
            <w:szCs w:val="22"/>
            <w:lang w:val="en"/>
          </w:rPr>
          <w:t>10.1046/j.1365-2125.1998.0460s1001.x</w:t>
        </w:r>
      </w:hyperlink>
    </w:p>
    <w:p w14:paraId="41935008" w14:textId="77777777" w:rsidR="003E1933" w:rsidRPr="005F4CC8" w:rsidRDefault="003E1933" w:rsidP="003E1933">
      <w:pPr>
        <w:pStyle w:val="a3"/>
        <w:numPr>
          <w:ilvl w:val="0"/>
          <w:numId w:val="1"/>
        </w:numPr>
        <w:rPr>
          <w:rFonts w:eastAsia="굴림"/>
          <w:szCs w:val="22"/>
          <w:lang w:val="en"/>
        </w:rPr>
      </w:pPr>
      <w:r w:rsidRPr="005F4CC8">
        <w:rPr>
          <w:rFonts w:eastAsiaTheme="minorEastAsia"/>
          <w:szCs w:val="22"/>
          <w:lang w:eastAsia="ko-KR"/>
        </w:rPr>
        <w:t xml:space="preserve">H.Y Choi at </w:t>
      </w:r>
      <w:proofErr w:type="spellStart"/>
      <w:r w:rsidRPr="005F4CC8">
        <w:rPr>
          <w:rFonts w:eastAsiaTheme="minorEastAsia"/>
          <w:szCs w:val="22"/>
          <w:lang w:eastAsia="ko-KR"/>
        </w:rPr>
        <w:t>al</w:t>
      </w:r>
      <w:proofErr w:type="spellEnd"/>
      <w:r w:rsidRPr="005F4CC8">
        <w:rPr>
          <w:rFonts w:eastAsiaTheme="minorEastAsia"/>
          <w:szCs w:val="22"/>
          <w:lang w:eastAsia="ko-KR"/>
        </w:rPr>
        <w:t xml:space="preserve"> (2015). </w:t>
      </w:r>
      <w:r w:rsidRPr="005F4CC8">
        <w:rPr>
          <w:szCs w:val="22"/>
          <w:lang w:val="en"/>
        </w:rPr>
        <w:t xml:space="preserve">Therapeutic dosage assessment based on population pharmacokinetics of a novel single-dose transdermal donepezil patch in healthy volunteers. </w:t>
      </w:r>
      <w:hyperlink r:id="rId6" w:tooltip="European journal of clinical pharmacology." w:history="1">
        <w:r w:rsidRPr="005F4CC8">
          <w:rPr>
            <w:szCs w:val="22"/>
            <w:lang w:val="en"/>
          </w:rPr>
          <w:t>Eur J Clin Pharmacol.</w:t>
        </w:r>
      </w:hyperlink>
      <w:r w:rsidRPr="005F4CC8">
        <w:rPr>
          <w:szCs w:val="22"/>
          <w:lang w:val="en"/>
        </w:rPr>
        <w:t xml:space="preserve"> 2015 Aug;71(8):967-77. </w:t>
      </w:r>
      <w:proofErr w:type="spellStart"/>
      <w:r w:rsidRPr="005F4CC8">
        <w:rPr>
          <w:szCs w:val="22"/>
          <w:lang w:val="en"/>
        </w:rPr>
        <w:t>doi</w:t>
      </w:r>
      <w:proofErr w:type="spellEnd"/>
      <w:r w:rsidRPr="005F4CC8">
        <w:rPr>
          <w:szCs w:val="22"/>
          <w:lang w:val="en"/>
        </w:rPr>
        <w:t xml:space="preserve">: 10.1007/s00228-015-1875-2. </w:t>
      </w:r>
    </w:p>
    <w:p w14:paraId="4B720FEF" w14:textId="77777777" w:rsidR="003E1933" w:rsidRPr="005F4CC8" w:rsidRDefault="003E1933" w:rsidP="003E1933">
      <w:pPr>
        <w:pStyle w:val="a3"/>
        <w:numPr>
          <w:ilvl w:val="0"/>
          <w:numId w:val="1"/>
        </w:numPr>
        <w:rPr>
          <w:rFonts w:eastAsia="굴림"/>
          <w:szCs w:val="22"/>
          <w:lang w:val="en"/>
        </w:rPr>
      </w:pPr>
      <w:r w:rsidRPr="005F4CC8">
        <w:rPr>
          <w:rFonts w:eastAsia="굴림"/>
          <w:szCs w:val="22"/>
          <w:lang w:val="en" w:eastAsia="ko-KR"/>
        </w:rPr>
        <w:t xml:space="preserve">Y.H Kim at </w:t>
      </w:r>
      <w:proofErr w:type="spellStart"/>
      <w:r w:rsidRPr="005F4CC8">
        <w:rPr>
          <w:rFonts w:eastAsia="굴림"/>
          <w:szCs w:val="22"/>
          <w:lang w:val="en" w:eastAsia="ko-KR"/>
        </w:rPr>
        <w:t>al</w:t>
      </w:r>
      <w:proofErr w:type="spellEnd"/>
      <w:r w:rsidRPr="005F4CC8">
        <w:rPr>
          <w:rFonts w:eastAsia="굴림"/>
          <w:szCs w:val="22"/>
          <w:lang w:val="en" w:eastAsia="ko-KR"/>
        </w:rPr>
        <w:t xml:space="preserve"> (2015). </w:t>
      </w:r>
      <w:r w:rsidRPr="005F4CC8">
        <w:rPr>
          <w:szCs w:val="22"/>
          <w:lang w:val="en"/>
        </w:rPr>
        <w:t xml:space="preserve">Single dose pharmacokinetics of the novel transdermal donepezil patch in healthy volunteers. </w:t>
      </w:r>
      <w:hyperlink r:id="rId7" w:history="1">
        <w:r w:rsidRPr="005F4CC8">
          <w:rPr>
            <w:rStyle w:val="a4"/>
            <w:szCs w:val="22"/>
            <w:lang w:val="en"/>
          </w:rPr>
          <w:t>Drug Des Devel Ther</w:t>
        </w:r>
      </w:hyperlink>
      <w:r w:rsidRPr="005F4CC8">
        <w:rPr>
          <w:rStyle w:val="cit"/>
          <w:szCs w:val="22"/>
          <w:lang w:val="en"/>
        </w:rPr>
        <w:t>. 2015; 9: 1419–1426</w:t>
      </w:r>
      <w:r w:rsidRPr="005F4CC8">
        <w:rPr>
          <w:rFonts w:eastAsia="굴림"/>
          <w:szCs w:val="22"/>
          <w:lang w:val="en"/>
        </w:rPr>
        <w:t>,doi:</w:t>
      </w:r>
      <w:hyperlink r:id="rId8" w:tgtFrame="pmc_ext" w:history="1">
        <w:r w:rsidRPr="005F4CC8">
          <w:rPr>
            <w:rFonts w:eastAsia="굴림"/>
            <w:szCs w:val="22"/>
            <w:lang w:val="en"/>
          </w:rPr>
          <w:t>10.2147/DDDT.S78555</w:t>
        </w:r>
      </w:hyperlink>
    </w:p>
    <w:p w14:paraId="71DA132C" w14:textId="77777777" w:rsidR="003E1933" w:rsidRPr="005F4CC8" w:rsidRDefault="003E1933" w:rsidP="003E1933">
      <w:pPr>
        <w:pStyle w:val="a3"/>
        <w:numPr>
          <w:ilvl w:val="0"/>
          <w:numId w:val="1"/>
        </w:numPr>
        <w:rPr>
          <w:rFonts w:eastAsia="굴림"/>
          <w:szCs w:val="22"/>
          <w:lang w:val="en"/>
        </w:rPr>
      </w:pPr>
      <w:r w:rsidRPr="005F4CC8">
        <w:rPr>
          <w:rFonts w:eastAsia="굴림"/>
          <w:szCs w:val="22"/>
          <w:lang w:val="en" w:eastAsia="ko-KR"/>
        </w:rPr>
        <w:t xml:space="preserve">Y.W Choi at </w:t>
      </w:r>
      <w:proofErr w:type="spellStart"/>
      <w:r w:rsidRPr="005F4CC8">
        <w:rPr>
          <w:rFonts w:eastAsia="굴림"/>
          <w:szCs w:val="22"/>
          <w:lang w:val="en" w:eastAsia="ko-KR"/>
        </w:rPr>
        <w:t>al</w:t>
      </w:r>
      <w:proofErr w:type="spellEnd"/>
      <w:r w:rsidRPr="005F4CC8">
        <w:rPr>
          <w:rFonts w:eastAsia="굴림"/>
          <w:szCs w:val="22"/>
          <w:lang w:val="en" w:eastAsia="ko-KR"/>
        </w:rPr>
        <w:t xml:space="preserve"> (2015). </w:t>
      </w:r>
      <w:r w:rsidRPr="005F4CC8">
        <w:rPr>
          <w:szCs w:val="22"/>
        </w:rPr>
        <w:t xml:space="preserve">Bioequivalence study of Donepezil hydrochloride in healthy Korean volunteers. </w:t>
      </w:r>
      <w:proofErr w:type="spellStart"/>
      <w:r w:rsidRPr="005F4CC8">
        <w:rPr>
          <w:szCs w:val="22"/>
        </w:rPr>
        <w:t>Transl</w:t>
      </w:r>
      <w:proofErr w:type="spellEnd"/>
      <w:r w:rsidRPr="005F4CC8">
        <w:rPr>
          <w:szCs w:val="22"/>
        </w:rPr>
        <w:t xml:space="preserve"> Clin </w:t>
      </w:r>
      <w:proofErr w:type="spellStart"/>
      <w:r w:rsidRPr="005F4CC8">
        <w:rPr>
          <w:szCs w:val="22"/>
        </w:rPr>
        <w:t>Pharmacol</w:t>
      </w:r>
      <w:proofErr w:type="spellEnd"/>
      <w:r w:rsidRPr="005F4CC8">
        <w:rPr>
          <w:szCs w:val="22"/>
        </w:rPr>
        <w:t>. 2015 Jun;23(1):26-30.</w:t>
      </w:r>
    </w:p>
    <w:p w14:paraId="561E6689" w14:textId="77777777" w:rsidR="00FE52AB" w:rsidRDefault="00FE52AB"/>
    <w:sectPr w:rsidR="00FE52AB">
      <w:pgSz w:w="11906" w:h="16838"/>
      <w:pgMar w:top="1701" w:right="1440" w:bottom="1440" w:left="1440" w:header="851" w:footer="992" w:gutter="0"/>
      <w:cols w:space="425"/>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바탕">
    <w:altName w:val="Batang"/>
    <w:panose1 w:val="02030600000101010101"/>
    <w:charset w:val="81"/>
    <w:family w:val="roman"/>
    <w:pitch w:val="variable"/>
    <w:sig w:usb0="B00002AF" w:usb1="69D77CFB" w:usb2="00000030" w:usb3="00000000" w:csb0="0008009F" w:csb1="00000000"/>
  </w:font>
  <w:font w:name="Cambria Math">
    <w:panose1 w:val="02040503050406030204"/>
    <w:charset w:val="00"/>
    <w:family w:val="roman"/>
    <w:pitch w:val="variable"/>
    <w:sig w:usb0="E00006FF" w:usb1="420024FF" w:usb2="02000000" w:usb3="00000000" w:csb0="0000019F" w:csb1="00000000"/>
  </w:font>
  <w:font w:name="굴림">
    <w:altName w:val="Gulim"/>
    <w:panose1 w:val="020B0600000101010101"/>
    <w:charset w:val="81"/>
    <w:family w:val="moder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4D05A5"/>
    <w:multiLevelType w:val="hybridMultilevel"/>
    <w:tmpl w:val="36245D72"/>
    <w:lvl w:ilvl="0" w:tplc="AD0E5E40">
      <w:start w:val="1"/>
      <w:numFmt w:val="decimal"/>
      <w:lvlText w:val="%1."/>
      <w:lvlJc w:val="left"/>
      <w:pPr>
        <w:ind w:left="760" w:hanging="360"/>
      </w:pPr>
      <w:rPr>
        <w:rFonts w:asciiTheme="minorHAnsi" w:eastAsiaTheme="minorEastAsia" w:hAnsiTheme="minorHAnsi" w:cstheme="minorBidi" w:hint="default"/>
        <w:sz w:val="20"/>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bordersDoNotSurroundHeader/>
  <w:bordersDoNotSurroundFooter/>
  <w:proofState w:spelling="clean"/>
  <w:defaultTabStop w:val="800"/>
  <w:displayHorizontalDrawingGridEvery w:val="0"/>
  <w:displayVerticalDrawingGridEvery w:val="2"/>
  <w:noPunctuationKerning/>
  <w:characterSpacingControl w:val="doNotCompres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1933"/>
    <w:rsid w:val="000D75E9"/>
    <w:rsid w:val="00236CF5"/>
    <w:rsid w:val="003E1933"/>
    <w:rsid w:val="00BE6092"/>
    <w:rsid w:val="00CA325C"/>
    <w:rsid w:val="00FE52AB"/>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BEB395"/>
  <w15:chartTrackingRefBased/>
  <w15:docId w15:val="{084E8D96-9DED-4476-A72A-0360612ED7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E1933"/>
    <w:pPr>
      <w:widowControl w:val="0"/>
      <w:wordWrap w:val="0"/>
      <w:autoSpaceDE w:val="0"/>
      <w:autoSpaceDN w:val="0"/>
    </w:pPr>
  </w:style>
  <w:style w:type="paragraph" w:styleId="2">
    <w:name w:val="heading 2"/>
    <w:basedOn w:val="a"/>
    <w:next w:val="a"/>
    <w:link w:val="2Char"/>
    <w:uiPriority w:val="9"/>
    <w:unhideWhenUsed/>
    <w:qFormat/>
    <w:rsid w:val="003E1933"/>
    <w:pPr>
      <w:keepNext/>
      <w:outlineLvl w:val="1"/>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Char">
    <w:name w:val="제목 2 Char"/>
    <w:basedOn w:val="a0"/>
    <w:link w:val="2"/>
    <w:uiPriority w:val="9"/>
    <w:rsid w:val="003E1933"/>
    <w:rPr>
      <w:rFonts w:asciiTheme="majorHAnsi" w:eastAsiaTheme="majorEastAsia" w:hAnsiTheme="majorHAnsi" w:cstheme="majorBidi"/>
    </w:rPr>
  </w:style>
  <w:style w:type="paragraph" w:styleId="a3">
    <w:name w:val="List Paragraph"/>
    <w:basedOn w:val="a"/>
    <w:uiPriority w:val="34"/>
    <w:qFormat/>
    <w:rsid w:val="003E1933"/>
    <w:pPr>
      <w:widowControl/>
      <w:wordWrap/>
      <w:autoSpaceDE/>
      <w:autoSpaceDN/>
      <w:spacing w:after="0" w:line="240" w:lineRule="auto"/>
      <w:ind w:left="720"/>
      <w:contextualSpacing/>
      <w:jc w:val="left"/>
    </w:pPr>
    <w:rPr>
      <w:rFonts w:ascii="Times New Roman" w:eastAsia="Times New Roman" w:hAnsi="Times New Roman" w:cs="Times New Roman"/>
      <w:kern w:val="0"/>
      <w:sz w:val="22"/>
      <w:szCs w:val="24"/>
      <w:lang w:val="en-GB" w:eastAsia="en-GB"/>
    </w:rPr>
  </w:style>
  <w:style w:type="character" w:styleId="a4">
    <w:name w:val="Hyperlink"/>
    <w:basedOn w:val="a0"/>
    <w:uiPriority w:val="99"/>
    <w:semiHidden/>
    <w:unhideWhenUsed/>
    <w:rsid w:val="003E1933"/>
    <w:rPr>
      <w:color w:val="0000FF"/>
      <w:u w:val="single"/>
    </w:rPr>
  </w:style>
  <w:style w:type="character" w:customStyle="1" w:styleId="cit">
    <w:name w:val="cit"/>
    <w:basedOn w:val="a0"/>
    <w:rsid w:val="003E19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x.doi.org/10.2147%2FDDDT.S78555" TargetMode="External"/><Relationship Id="rId3" Type="http://schemas.openxmlformats.org/officeDocument/2006/relationships/settings" Target="settings.xml"/><Relationship Id="rId7" Type="http://schemas.openxmlformats.org/officeDocument/2006/relationships/hyperlink" Target="https://www.ncbi.nlm.nih.gov/pmc/articles/PMC4362658/"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ncbi.nlm.nih.gov/pubmed/26014587" TargetMode="External"/><Relationship Id="rId5" Type="http://schemas.openxmlformats.org/officeDocument/2006/relationships/hyperlink" Target="https://dx.doi.org/10.1046%2Fj.1365-2125.1998.0460s1001.x"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55</TotalTime>
  <Pages>2</Pages>
  <Words>691</Words>
  <Characters>3940</Characters>
  <Application>Microsoft Office Word</Application>
  <DocSecurity>0</DocSecurity>
  <Lines>32</Lines>
  <Paragraphs>9</Paragraphs>
  <ScaleCrop>false</ScaleCrop>
  <Company/>
  <LinksUpToDate>false</LinksUpToDate>
  <CharactersWithSpaces>4622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park seon jong</dc:creator>
  <cp:keywords/>
  <dc:description/>
  <cp:lastModifiedBy>park seon jong</cp:lastModifiedBy>
  <cp:revision>5</cp:revision>
  <dcterms:created xsi:type="dcterms:W3CDTF">2020-03-25T15:38:00Z</dcterms:created>
  <dcterms:modified xsi:type="dcterms:W3CDTF">2020-03-25T16:33:00Z</dcterms:modified>
</cp:coreProperties>
</file>